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7E4B6" w14:textId="6C2221D9" w:rsidR="0038295D" w:rsidRPr="00590F3F" w:rsidRDefault="0038295D" w:rsidP="0038295D">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4639</w:t>
      </w:r>
    </w:p>
    <w:p w14:paraId="7D8DFEF8" w14:textId="77777777" w:rsidR="0038295D" w:rsidRPr="00590F3F" w:rsidRDefault="0038295D" w:rsidP="0038295D">
      <w:pPr>
        <w:pStyle w:val="Header"/>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0" w:name="_Ref178064866"/>
      <w:r w:rsidRPr="00425E6E">
        <w:t>1</w:t>
      </w:r>
      <w:r w:rsidR="00230D18" w:rsidRPr="00425E6E">
        <w:tab/>
      </w:r>
      <w:bookmarkEnd w:id="0"/>
      <w:r w:rsidR="0071605A" w:rsidRPr="00425E6E">
        <w:t>Introduction</w:t>
      </w:r>
    </w:p>
    <w:p w14:paraId="75A90094" w14:textId="684059E5" w:rsidR="0038295D" w:rsidRDefault="0038295D" w:rsidP="0038295D">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r>
        <w:rPr>
          <w:lang w:val="en-GB"/>
        </w:rPr>
        <w:t>xxxxxxx</w:t>
      </w:r>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6F883323" w14:textId="77777777" w:rsidR="0038295D" w:rsidRDefault="0038295D" w:rsidP="0038295D">
      <w:pPr>
        <w:pStyle w:val="Doc-text2"/>
        <w:tabs>
          <w:tab w:val="clear" w:pos="1622"/>
          <w:tab w:val="left" w:pos="1276"/>
        </w:tabs>
        <w:ind w:left="0" w:firstLine="0"/>
        <w:rPr>
          <w:lang w:val="en-GB"/>
        </w:rPr>
      </w:pPr>
    </w:p>
    <w:p w14:paraId="571EABD7" w14:textId="77777777" w:rsidR="0038295D" w:rsidRPr="003068AB" w:rsidRDefault="0038295D" w:rsidP="0038295D">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1CB6EC48" w14:textId="30935402" w:rsidR="0038295D" w:rsidRDefault="0038295D" w:rsidP="00BD6CA6">
      <w:pPr>
        <w:pStyle w:val="Doc-text2"/>
        <w:tabs>
          <w:tab w:val="clear" w:pos="1622"/>
          <w:tab w:val="left" w:pos="1276"/>
        </w:tabs>
        <w:ind w:left="0" w:firstLine="0"/>
        <w:rPr>
          <w:lang w:val="en-GB"/>
        </w:rPr>
      </w:pP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Summary of issues addressed in the Tdocs</w:t>
      </w:r>
    </w:p>
    <w:tbl>
      <w:tblPr>
        <w:tblStyle w:val="TableGrid"/>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BodyText"/>
              <w:jc w:val="center"/>
              <w:rPr>
                <w:rFonts w:eastAsia="宋体" w:cs="Arial"/>
                <w:b/>
                <w:bCs/>
                <w:sz w:val="20"/>
                <w:szCs w:val="20"/>
                <w:lang w:val="en-GB" w:eastAsia="ja-JP"/>
              </w:rPr>
            </w:pPr>
            <w:r w:rsidRPr="00590F3F">
              <w:rPr>
                <w:rFonts w:eastAsia="宋体"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BodyText"/>
              <w:rPr>
                <w:rFonts w:eastAsia="宋体" w:cs="Arial"/>
                <w:sz w:val="20"/>
                <w:szCs w:val="20"/>
                <w:lang w:val="en-GB"/>
              </w:rPr>
            </w:pPr>
            <w:r>
              <w:rPr>
                <w:rFonts w:eastAsia="宋体" w:cs="Arial"/>
                <w:sz w:val="20"/>
                <w:szCs w:val="20"/>
                <w:lang w:val="en-GB"/>
              </w:rPr>
              <w:t>1</w:t>
            </w:r>
          </w:p>
        </w:tc>
        <w:tc>
          <w:tcPr>
            <w:tcW w:w="7711" w:type="dxa"/>
          </w:tcPr>
          <w:p w14:paraId="0AE8EE2D" w14:textId="32F4B664" w:rsidR="000D447B" w:rsidRPr="00FE26A3" w:rsidRDefault="000D447B" w:rsidP="000D447B">
            <w:pPr>
              <w:pStyle w:val="BodyText"/>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BodyText"/>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BodyText"/>
              <w:rPr>
                <w:rFonts w:eastAsia="宋体" w:cs="Arial"/>
                <w:bCs/>
                <w:sz w:val="20"/>
                <w:szCs w:val="20"/>
                <w:lang w:val="en-GB" w:eastAsia="ja-JP"/>
              </w:rPr>
            </w:pPr>
            <w:r w:rsidRPr="00FE26A3">
              <w:rPr>
                <w:rFonts w:eastAsia="宋体" w:cs="Arial"/>
                <w:bCs/>
                <w:sz w:val="20"/>
                <w:szCs w:val="20"/>
                <w:lang w:val="en-GB" w:eastAsia="ja-JP"/>
              </w:rPr>
              <w:t>ZTE</w:t>
            </w:r>
            <w:r w:rsidR="00FE26A3">
              <w:rPr>
                <w:rFonts w:eastAsia="宋体" w:cs="Arial"/>
                <w:bCs/>
                <w:sz w:val="20"/>
                <w:szCs w:val="20"/>
                <w:lang w:val="en-GB" w:eastAsia="ja-JP"/>
              </w:rPr>
              <w:t>,</w:t>
            </w:r>
            <w:r w:rsidR="00624E0B">
              <w:rPr>
                <w:rFonts w:eastAsia="宋体" w:cs="Arial"/>
                <w:bCs/>
                <w:sz w:val="20"/>
                <w:szCs w:val="20"/>
                <w:lang w:val="en-GB" w:eastAsia="ja-JP"/>
              </w:rPr>
              <w:t xml:space="preserve"> Huawei,</w:t>
            </w:r>
            <w:r w:rsidR="00FE26A3">
              <w:rPr>
                <w:rFonts w:eastAsia="宋体"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BodyText"/>
              <w:rPr>
                <w:rFonts w:eastAsia="宋体" w:cs="Arial"/>
                <w:sz w:val="20"/>
                <w:szCs w:val="20"/>
                <w:lang w:val="en-GB"/>
              </w:rPr>
            </w:pPr>
            <w:r>
              <w:rPr>
                <w:rFonts w:eastAsia="宋体" w:cs="Arial"/>
                <w:sz w:val="20"/>
                <w:szCs w:val="20"/>
                <w:lang w:val="en-GB"/>
              </w:rPr>
              <w:t>2</w:t>
            </w:r>
          </w:p>
        </w:tc>
        <w:tc>
          <w:tcPr>
            <w:tcW w:w="7711" w:type="dxa"/>
          </w:tcPr>
          <w:p w14:paraId="5BBD4057" w14:textId="25D6F097" w:rsidR="000702B2" w:rsidRPr="00FE26A3" w:rsidRDefault="000702B2" w:rsidP="00624E0B">
            <w:pPr>
              <w:pStyle w:val="BodyText"/>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BodyText"/>
              <w:rPr>
                <w:rFonts w:eastAsia="宋体" w:cs="Arial"/>
                <w:bCs/>
                <w:sz w:val="20"/>
                <w:szCs w:val="20"/>
                <w:lang w:val="en-GB" w:eastAsia="ja-JP"/>
              </w:rPr>
            </w:pPr>
            <w:r w:rsidRPr="00FE26A3">
              <w:rPr>
                <w:rFonts w:eastAsia="宋体" w:cs="Arial"/>
                <w:bCs/>
                <w:sz w:val="20"/>
                <w:szCs w:val="20"/>
                <w:lang w:val="en-GB" w:eastAsia="ja-JP"/>
              </w:rPr>
              <w:t>vivo</w:t>
            </w:r>
            <w:r>
              <w:rPr>
                <w:rFonts w:eastAsia="宋体" w:cs="Arial"/>
                <w:bCs/>
                <w:sz w:val="20"/>
                <w:szCs w:val="20"/>
                <w:lang w:val="en-GB" w:eastAsia="ja-JP"/>
              </w:rPr>
              <w:t>,</w:t>
            </w:r>
            <w:r>
              <w:rPr>
                <w:rFonts w:eastAsia="宋体"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BodyText"/>
              <w:rPr>
                <w:rFonts w:eastAsia="宋体" w:cs="Arial"/>
                <w:sz w:val="20"/>
                <w:szCs w:val="20"/>
                <w:lang w:val="en-GB"/>
              </w:rPr>
            </w:pPr>
            <w:r>
              <w:rPr>
                <w:rFonts w:eastAsia="宋体" w:cs="Arial"/>
                <w:sz w:val="20"/>
                <w:szCs w:val="20"/>
                <w:lang w:val="en-GB"/>
              </w:rPr>
              <w:t>3</w:t>
            </w:r>
          </w:p>
        </w:tc>
        <w:tc>
          <w:tcPr>
            <w:tcW w:w="7711" w:type="dxa"/>
          </w:tcPr>
          <w:p w14:paraId="25725B7C" w14:textId="3023CDCA" w:rsidR="00624E0B" w:rsidRPr="00FE26A3" w:rsidRDefault="00624E0B" w:rsidP="00624E0B">
            <w:pPr>
              <w:pStyle w:val="BodyText"/>
              <w:jc w:val="left"/>
              <w:rPr>
                <w:rFonts w:cs="Arial"/>
                <w:sz w:val="20"/>
                <w:szCs w:val="20"/>
                <w:lang w:val="en-GB" w:eastAsia="zh-TW"/>
              </w:rPr>
            </w:pPr>
            <w:r w:rsidRPr="00FE26A3">
              <w:rPr>
                <w:rFonts w:cs="Arial"/>
                <w:sz w:val="20"/>
                <w:szCs w:val="20"/>
                <w:lang w:val="en-GB" w:eastAsia="zh-TW"/>
              </w:rPr>
              <w:t>The “HARQ codebook blocking” issue of UE supporting only one unicast PDSCH slot can be handled by gNB scheduler, no spec change is needed.</w:t>
            </w:r>
          </w:p>
        </w:tc>
        <w:tc>
          <w:tcPr>
            <w:tcW w:w="1276" w:type="dxa"/>
          </w:tcPr>
          <w:p w14:paraId="2F2C75A5" w14:textId="1850B191" w:rsidR="00624E0B" w:rsidRPr="00FE26A3" w:rsidRDefault="00624E0B" w:rsidP="00624E0B">
            <w:pPr>
              <w:pStyle w:val="BodyText"/>
              <w:rPr>
                <w:rFonts w:eastAsia="宋体" w:cs="Arial"/>
                <w:bCs/>
                <w:sz w:val="20"/>
                <w:szCs w:val="20"/>
                <w:lang w:val="en-GB" w:eastAsia="ja-JP"/>
              </w:rPr>
            </w:pPr>
            <w:r w:rsidRPr="00FE26A3">
              <w:rPr>
                <w:rFonts w:eastAsia="宋体"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BodyText"/>
              <w:rPr>
                <w:rFonts w:eastAsia="宋体" w:cs="Arial"/>
                <w:sz w:val="20"/>
                <w:szCs w:val="20"/>
                <w:lang w:val="en-GB"/>
              </w:rPr>
            </w:pPr>
            <w:r>
              <w:rPr>
                <w:rFonts w:eastAsia="宋体" w:cs="Arial"/>
                <w:sz w:val="20"/>
                <w:szCs w:val="20"/>
                <w:lang w:val="en-GB"/>
              </w:rPr>
              <w:t>4</w:t>
            </w:r>
          </w:p>
        </w:tc>
        <w:tc>
          <w:tcPr>
            <w:tcW w:w="7711" w:type="dxa"/>
          </w:tcPr>
          <w:p w14:paraId="6B425944" w14:textId="19442C91" w:rsidR="00624E0B" w:rsidRPr="00FE26A3" w:rsidRDefault="00624E0B" w:rsidP="00624E0B">
            <w:pPr>
              <w:pStyle w:val="BodyText"/>
              <w:jc w:val="left"/>
              <w:rPr>
                <w:rFonts w:cs="Arial"/>
                <w:sz w:val="20"/>
                <w:szCs w:val="20"/>
                <w:lang w:val="en-GB" w:eastAsia="zh-TW"/>
              </w:rPr>
            </w:pPr>
            <w:bookmarkStart w:id="1"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1"/>
          </w:p>
        </w:tc>
        <w:tc>
          <w:tcPr>
            <w:tcW w:w="1276" w:type="dxa"/>
          </w:tcPr>
          <w:p w14:paraId="6B677951" w14:textId="456381DD" w:rsidR="00624E0B" w:rsidRPr="00FE26A3" w:rsidRDefault="00624E0B" w:rsidP="00624E0B">
            <w:pPr>
              <w:pStyle w:val="BodyText"/>
              <w:rPr>
                <w:rFonts w:eastAsia="宋体" w:cs="Arial"/>
                <w:bCs/>
                <w:sz w:val="20"/>
                <w:szCs w:val="20"/>
                <w:lang w:val="en-GB" w:eastAsia="ja-JP"/>
              </w:rPr>
            </w:pPr>
            <w:r w:rsidRPr="00FE26A3">
              <w:rPr>
                <w:rFonts w:eastAsia="宋体"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Heading1"/>
        <w:rPr>
          <w:rStyle w:val="Heading1Char"/>
        </w:rPr>
      </w:pPr>
      <w:r>
        <w:rPr>
          <w:rStyle w:val="Heading1Char"/>
        </w:rPr>
        <w:t>3</w:t>
      </w:r>
      <w:r>
        <w:rPr>
          <w:rStyle w:val="Heading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BodyText"/>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B616EB">
        <w:rPr>
          <w:b/>
          <w:bCs/>
          <w:highlight w:val="yellow"/>
        </w:rPr>
        <w:t>FL proposal:</w:t>
      </w:r>
      <w:r w:rsidRPr="00B616EB">
        <w:rPr>
          <w:highlight w:val="yellow"/>
        </w:rPr>
        <w:t xml:space="preserve"> Discuss </w:t>
      </w:r>
      <w:r w:rsidR="00FE26A3">
        <w:rPr>
          <w:highlight w:val="yellow"/>
        </w:rPr>
        <w:t xml:space="preserve">how to handle the &gt; 1 DCI per MO </w:t>
      </w:r>
      <w:r w:rsidRPr="00B616EB">
        <w:rPr>
          <w:highlight w:val="yellow"/>
        </w:rPr>
        <w:t>in RAN1#101</w:t>
      </w:r>
    </w:p>
    <w:p w14:paraId="6C61D5F4" w14:textId="77777777" w:rsidR="0038295D" w:rsidRDefault="0038295D" w:rsidP="0038295D">
      <w:r>
        <w:lastRenderedPageBreak/>
        <w:t>Comments on the FL proposal</w:t>
      </w:r>
    </w:p>
    <w:tbl>
      <w:tblPr>
        <w:tblStyle w:val="TableGrid"/>
        <w:tblW w:w="9918" w:type="dxa"/>
        <w:tblLook w:val="04A0" w:firstRow="1" w:lastRow="0" w:firstColumn="1" w:lastColumn="0" w:noHBand="0" w:noVBand="1"/>
      </w:tblPr>
      <w:tblGrid>
        <w:gridCol w:w="1128"/>
        <w:gridCol w:w="8790"/>
      </w:tblGrid>
      <w:tr w:rsidR="0038295D" w:rsidRPr="00590F3F" w14:paraId="14B9A52C" w14:textId="77777777" w:rsidTr="00DA1358">
        <w:tc>
          <w:tcPr>
            <w:tcW w:w="931" w:type="dxa"/>
            <w:shd w:val="clear" w:color="auto" w:fill="D9D9D9" w:themeFill="background1" w:themeFillShade="D9"/>
          </w:tcPr>
          <w:p w14:paraId="0059E9D4"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146C2AFB"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Comment on FL proposal wrt. issue #1</w:t>
            </w:r>
          </w:p>
        </w:tc>
      </w:tr>
      <w:tr w:rsidR="0038295D" w:rsidRPr="008104BC" w14:paraId="4D8B538A" w14:textId="77777777" w:rsidTr="00DA1358">
        <w:tc>
          <w:tcPr>
            <w:tcW w:w="931" w:type="dxa"/>
          </w:tcPr>
          <w:p w14:paraId="31023D7E" w14:textId="6DCCDD74" w:rsidR="0038295D" w:rsidRPr="008104BC" w:rsidRDefault="0048684D" w:rsidP="00DA1358">
            <w:pPr>
              <w:pStyle w:val="BodyText"/>
              <w:rPr>
                <w:rFonts w:eastAsia="宋体" w:cs="Arial"/>
                <w:sz w:val="20"/>
                <w:szCs w:val="20"/>
                <w:lang w:val="en-GB"/>
              </w:rPr>
            </w:pPr>
            <w:r>
              <w:rPr>
                <w:rFonts w:eastAsia="宋体" w:cs="Arial"/>
                <w:sz w:val="20"/>
                <w:szCs w:val="20"/>
                <w:lang w:val="en-GB"/>
              </w:rPr>
              <w:t>ZTE</w:t>
            </w:r>
          </w:p>
        </w:tc>
        <w:tc>
          <w:tcPr>
            <w:tcW w:w="8987" w:type="dxa"/>
          </w:tcPr>
          <w:p w14:paraId="5781DA66" w14:textId="77777777" w:rsidR="0038295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BodyText"/>
              <w:jc w:val="left"/>
              <w:rPr>
                <w:rFonts w:eastAsiaTheme="minorEastAsia" w:cs="Arial" w:hint="eastAsia"/>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Besides, the PDCCH monitoring is very important for initial system design/implementation. We suggest to discuss and conclude this issue in this meeting in order to facilitate the initial design/implementation of cross-carrier scheduling.</w:t>
            </w:r>
            <w:bookmarkStart w:id="2" w:name="_GoBack"/>
            <w:bookmarkEnd w:id="2"/>
          </w:p>
        </w:tc>
      </w:tr>
    </w:tbl>
    <w:p w14:paraId="7510A0A8" w14:textId="77777777" w:rsidR="0038295D" w:rsidRDefault="0038295D" w:rsidP="0038295D"/>
    <w:p w14:paraId="2BD1DB77" w14:textId="77777777" w:rsidR="00624E0B" w:rsidRDefault="00624E0B" w:rsidP="00FE26A3">
      <w:pPr>
        <w:rPr>
          <w:b/>
          <w:bCs/>
        </w:rPr>
      </w:pPr>
    </w:p>
    <w:p w14:paraId="0D7AACB9" w14:textId="3BB1EC18" w:rsidR="00FE26A3" w:rsidRDefault="00FE26A3" w:rsidP="00FE26A3">
      <w:pPr>
        <w:rPr>
          <w:b/>
          <w:bCs/>
        </w:rPr>
      </w:pPr>
      <w:r>
        <w:rPr>
          <w:b/>
          <w:bCs/>
        </w:rPr>
        <w:t>Issue #</w:t>
      </w:r>
      <w:r w:rsidR="00624E0B">
        <w:rPr>
          <w:b/>
          <w:bCs/>
        </w:rPr>
        <w:t>2</w:t>
      </w:r>
      <w:r>
        <w:rPr>
          <w:b/>
          <w:bCs/>
        </w:rPr>
        <w:t>: [vivo, CATT]</w:t>
      </w:r>
    </w:p>
    <w:p w14:paraId="3640F054" w14:textId="6C57CC37" w:rsidR="00FE26A3" w:rsidRPr="00FE26A3" w:rsidRDefault="00FE26A3" w:rsidP="00FE26A3">
      <w:pPr>
        <w:pStyle w:val="BodyText"/>
        <w:numPr>
          <w:ilvl w:val="0"/>
          <w:numId w:val="39"/>
        </w:numPr>
        <w:jc w:val="left"/>
        <w:rPr>
          <w:rFonts w:cs="Arial"/>
          <w:lang w:eastAsia="zh-TW"/>
        </w:rPr>
      </w:pPr>
      <w:r>
        <w:rPr>
          <w:rFonts w:cs="Arial"/>
          <w:lang w:eastAsia="zh-TW"/>
        </w:rPr>
        <w:t xml:space="preserve">Type-1 HARQ-ACK codebook determination update </w:t>
      </w:r>
      <w:r w:rsidR="009C3237">
        <w:rPr>
          <w:rFonts w:cs="Arial"/>
          <w:lang w:eastAsia="zh-TW"/>
        </w:rPr>
        <w:t>for SPS-PDSCH release</w:t>
      </w:r>
    </w:p>
    <w:p w14:paraId="7450860D" w14:textId="3E245059" w:rsidR="00FE26A3" w:rsidRDefault="00FE26A3" w:rsidP="00FE26A3">
      <w:pPr>
        <w:spacing w:before="240"/>
      </w:pPr>
      <w:r w:rsidRPr="00B616EB">
        <w:rPr>
          <w:b/>
          <w:bCs/>
          <w:highlight w:val="yellow"/>
        </w:rPr>
        <w:t>FL proposal:</w:t>
      </w:r>
      <w:r w:rsidRPr="00B616EB">
        <w:rPr>
          <w:highlight w:val="yellow"/>
        </w:rPr>
        <w:t xml:space="preserve"> </w:t>
      </w:r>
      <w:r w:rsidR="009C3237">
        <w:rPr>
          <w:highlight w:val="yellow"/>
        </w:rPr>
        <w:t>The issue has been debated for several meetings with no consensus. Suggest no further discussions on the topic and NOT to discuss the issue in RAN1#101.</w:t>
      </w:r>
    </w:p>
    <w:p w14:paraId="5033A220" w14:textId="77777777" w:rsidR="00FE26A3" w:rsidRDefault="00FE26A3" w:rsidP="00FE26A3">
      <w:r>
        <w:t>Comments on the FL proposal</w:t>
      </w:r>
    </w:p>
    <w:tbl>
      <w:tblPr>
        <w:tblStyle w:val="TableGrid"/>
        <w:tblW w:w="9918" w:type="dxa"/>
        <w:tblLook w:val="04A0" w:firstRow="1" w:lastRow="0" w:firstColumn="1" w:lastColumn="0" w:noHBand="0" w:noVBand="1"/>
      </w:tblPr>
      <w:tblGrid>
        <w:gridCol w:w="1128"/>
        <w:gridCol w:w="8790"/>
      </w:tblGrid>
      <w:tr w:rsidR="00FE26A3" w:rsidRPr="00590F3F" w14:paraId="1F4AF55E" w14:textId="77777777" w:rsidTr="00DA1358">
        <w:tc>
          <w:tcPr>
            <w:tcW w:w="931" w:type="dxa"/>
            <w:shd w:val="clear" w:color="auto" w:fill="D9D9D9" w:themeFill="background1" w:themeFillShade="D9"/>
          </w:tcPr>
          <w:p w14:paraId="67DF73C6"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02695E15"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Comment on FL proposal wrt. issue #1</w:t>
            </w:r>
          </w:p>
        </w:tc>
      </w:tr>
      <w:tr w:rsidR="00FE26A3" w:rsidRPr="008104BC" w14:paraId="67E40D10" w14:textId="77777777" w:rsidTr="00DA1358">
        <w:tc>
          <w:tcPr>
            <w:tcW w:w="931" w:type="dxa"/>
          </w:tcPr>
          <w:p w14:paraId="19B3D14C" w14:textId="487999F5" w:rsidR="00FE26A3" w:rsidRPr="008104BC" w:rsidRDefault="0048684D" w:rsidP="00DA1358">
            <w:pPr>
              <w:pStyle w:val="BodyText"/>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987" w:type="dxa"/>
          </w:tcPr>
          <w:p w14:paraId="2271194B" w14:textId="7E56C4BC" w:rsidR="00FE26A3" w:rsidRPr="0048684D" w:rsidRDefault="0048684D" w:rsidP="00DA1358">
            <w:pPr>
              <w:pStyle w:val="BodyText"/>
              <w:jc w:val="left"/>
              <w:rPr>
                <w:rFonts w:eastAsiaTheme="minorEastAsia" w:cs="Arial" w:hint="eastAsia"/>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bl>
    <w:p w14:paraId="1879A34E" w14:textId="6E6A7AD8" w:rsidR="00FE26A3" w:rsidRDefault="00FE26A3" w:rsidP="0038295D"/>
    <w:p w14:paraId="05F7A4D6" w14:textId="77777777" w:rsidR="009C3237" w:rsidRDefault="009C3237" w:rsidP="0038295D"/>
    <w:p w14:paraId="406B49F4" w14:textId="2FB96CD4" w:rsidR="009C3237" w:rsidRDefault="009C3237" w:rsidP="009C3237">
      <w:pPr>
        <w:rPr>
          <w:b/>
          <w:bCs/>
        </w:rPr>
      </w:pPr>
      <w:r>
        <w:rPr>
          <w:b/>
          <w:bCs/>
        </w:rPr>
        <w:t>Issue #</w:t>
      </w:r>
      <w:r w:rsidR="00624E0B">
        <w:rPr>
          <w:b/>
          <w:bCs/>
        </w:rPr>
        <w:t>3</w:t>
      </w:r>
      <w:r>
        <w:rPr>
          <w:b/>
          <w:bCs/>
        </w:rPr>
        <w:t>: [vivo]</w:t>
      </w:r>
    </w:p>
    <w:p w14:paraId="6F00E19E" w14:textId="0A54B32D" w:rsidR="009C3237" w:rsidRPr="00FE26A3" w:rsidRDefault="009C3237" w:rsidP="009C3237">
      <w:pPr>
        <w:pStyle w:val="BodyText"/>
        <w:numPr>
          <w:ilvl w:val="0"/>
          <w:numId w:val="39"/>
        </w:numPr>
        <w:jc w:val="left"/>
        <w:rPr>
          <w:rFonts w:cs="Arial"/>
          <w:lang w:eastAsia="zh-TW"/>
        </w:rPr>
      </w:pPr>
      <w:r w:rsidRPr="009C3237">
        <w:rPr>
          <w:rFonts w:cs="Arial"/>
          <w:lang w:eastAsia="zh-TW"/>
        </w:rPr>
        <w:t>The “HARQ codebook blocking” issue of UE supporting only one unicast PDSCH slot can be handled by gNB scheduler, no spec change is needed.</w:t>
      </w:r>
    </w:p>
    <w:p w14:paraId="0FDC4B49" w14:textId="4EBAFDCA" w:rsidR="009C3237" w:rsidRDefault="009C3237" w:rsidP="009C3237">
      <w:pPr>
        <w:spacing w:before="240"/>
      </w:pPr>
      <w:r w:rsidRPr="00B616EB">
        <w:rPr>
          <w:b/>
          <w:bCs/>
          <w:highlight w:val="yellow"/>
        </w:rPr>
        <w:t>FL proposal:</w:t>
      </w:r>
      <w:r w:rsidRPr="00B616EB">
        <w:rPr>
          <w:highlight w:val="yellow"/>
        </w:rPr>
        <w:t xml:space="preserve"> </w:t>
      </w:r>
      <w:r>
        <w:rPr>
          <w:highlight w:val="yellow"/>
        </w:rPr>
        <w:t xml:space="preserve">The proposed solution for the raised issue does not require any specification changes, and no other proposals have been made. Thus suggest NOT to discuss the issue in RAN1#101. </w:t>
      </w:r>
    </w:p>
    <w:p w14:paraId="1140DDC1" w14:textId="77777777" w:rsidR="009C3237" w:rsidRDefault="009C3237" w:rsidP="009C3237">
      <w:r>
        <w:t>Comments on the FL proposal</w:t>
      </w:r>
    </w:p>
    <w:tbl>
      <w:tblPr>
        <w:tblStyle w:val="TableGrid"/>
        <w:tblW w:w="9918" w:type="dxa"/>
        <w:tblLook w:val="04A0" w:firstRow="1" w:lastRow="0" w:firstColumn="1" w:lastColumn="0" w:noHBand="0" w:noVBand="1"/>
      </w:tblPr>
      <w:tblGrid>
        <w:gridCol w:w="1128"/>
        <w:gridCol w:w="8790"/>
      </w:tblGrid>
      <w:tr w:rsidR="009C3237" w:rsidRPr="00590F3F" w14:paraId="0317F464" w14:textId="77777777" w:rsidTr="00DA1358">
        <w:tc>
          <w:tcPr>
            <w:tcW w:w="931" w:type="dxa"/>
            <w:shd w:val="clear" w:color="auto" w:fill="D9D9D9" w:themeFill="background1" w:themeFillShade="D9"/>
          </w:tcPr>
          <w:p w14:paraId="0087EB5E"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795D15BD"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Comment on FL proposal wrt. issue #1</w:t>
            </w:r>
          </w:p>
        </w:tc>
      </w:tr>
      <w:tr w:rsidR="009C3237" w:rsidRPr="008104BC" w14:paraId="64C2A280" w14:textId="77777777" w:rsidTr="00DA1358">
        <w:tc>
          <w:tcPr>
            <w:tcW w:w="931" w:type="dxa"/>
          </w:tcPr>
          <w:p w14:paraId="49076197" w14:textId="394DB730" w:rsidR="009C3237" w:rsidRPr="008104BC" w:rsidRDefault="002E09F9" w:rsidP="00DA1358">
            <w:pPr>
              <w:pStyle w:val="BodyText"/>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987" w:type="dxa"/>
          </w:tcPr>
          <w:p w14:paraId="3B37BFB7" w14:textId="5F17E5F3" w:rsidR="009C3237" w:rsidRPr="008104BC" w:rsidRDefault="00305FE5" w:rsidP="00DA1358">
            <w:pPr>
              <w:pStyle w:val="BodyText"/>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bl>
    <w:p w14:paraId="4A33CDCF" w14:textId="6B5F023A" w:rsidR="009C3237" w:rsidRDefault="009C3237" w:rsidP="0038295D"/>
    <w:p w14:paraId="36E55FBC" w14:textId="77777777" w:rsidR="003C7A2A" w:rsidRDefault="003C7A2A" w:rsidP="0038295D"/>
    <w:p w14:paraId="09572A2F" w14:textId="7D586A10" w:rsidR="00624E0B" w:rsidRDefault="00624E0B" w:rsidP="00624E0B">
      <w:pPr>
        <w:rPr>
          <w:b/>
          <w:bCs/>
        </w:rPr>
      </w:pPr>
      <w:r>
        <w:rPr>
          <w:b/>
          <w:bCs/>
        </w:rPr>
        <w:t>Issue #4: [MediaTek]</w:t>
      </w:r>
    </w:p>
    <w:p w14:paraId="6FFA0F88" w14:textId="077F5838" w:rsidR="00624E0B" w:rsidRPr="00FE26A3" w:rsidRDefault="00624E0B" w:rsidP="00624E0B">
      <w:pPr>
        <w:pStyle w:val="BodyText"/>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6732D907" w14:textId="0D53C2BC" w:rsidR="00624E0B" w:rsidRDefault="00624E0B" w:rsidP="00624E0B">
      <w:pPr>
        <w:spacing w:before="240"/>
      </w:pPr>
      <w:r w:rsidRPr="00B616EB">
        <w:rPr>
          <w:b/>
          <w:bCs/>
          <w:highlight w:val="yellow"/>
        </w:rPr>
        <w:t>FL proposal:</w:t>
      </w:r>
      <w:r w:rsidRPr="00B616EB">
        <w:rPr>
          <w:highlight w:val="yellow"/>
        </w:rPr>
        <w:t xml:space="preserve"> </w:t>
      </w:r>
      <w:r>
        <w:rPr>
          <w:highlight w:val="yellow"/>
        </w:rPr>
        <w:t>The issue is on the list of topics to discuss under the MR-DC UE feature and is not functional in nature. Suggest to defer the discussion to the MR-DC UE feature agenda and avoid parallel discussion threads.</w:t>
      </w:r>
    </w:p>
    <w:p w14:paraId="24BCCEDE" w14:textId="77777777" w:rsidR="00624E0B" w:rsidRDefault="00624E0B" w:rsidP="00624E0B">
      <w:r>
        <w:t>Comments on the FL proposal</w:t>
      </w:r>
    </w:p>
    <w:tbl>
      <w:tblPr>
        <w:tblStyle w:val="TableGrid"/>
        <w:tblW w:w="9918" w:type="dxa"/>
        <w:tblLook w:val="04A0" w:firstRow="1" w:lastRow="0" w:firstColumn="1" w:lastColumn="0" w:noHBand="0" w:noVBand="1"/>
      </w:tblPr>
      <w:tblGrid>
        <w:gridCol w:w="1128"/>
        <w:gridCol w:w="8790"/>
      </w:tblGrid>
      <w:tr w:rsidR="00624E0B" w:rsidRPr="00590F3F" w14:paraId="6388E94E" w14:textId="77777777" w:rsidTr="00DA1358">
        <w:tc>
          <w:tcPr>
            <w:tcW w:w="931" w:type="dxa"/>
            <w:shd w:val="clear" w:color="auto" w:fill="D9D9D9" w:themeFill="background1" w:themeFillShade="D9"/>
          </w:tcPr>
          <w:p w14:paraId="7A58CEA5"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3BFC9264"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Comment on FL proposal wrt. issue #1</w:t>
            </w:r>
          </w:p>
        </w:tc>
      </w:tr>
      <w:tr w:rsidR="00624E0B" w:rsidRPr="008104BC" w14:paraId="10CA6D2E" w14:textId="77777777" w:rsidTr="00DA1358">
        <w:tc>
          <w:tcPr>
            <w:tcW w:w="931" w:type="dxa"/>
          </w:tcPr>
          <w:p w14:paraId="166B5385" w14:textId="679D63E7" w:rsidR="00624E0B" w:rsidRPr="008104BC" w:rsidRDefault="00305FE5" w:rsidP="00DA1358">
            <w:pPr>
              <w:pStyle w:val="BodyText"/>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987" w:type="dxa"/>
          </w:tcPr>
          <w:p w14:paraId="2F0AB075" w14:textId="77777777" w:rsidR="00624E0B" w:rsidRDefault="00305FE5"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BodyText"/>
              <w:jc w:val="left"/>
              <w:rPr>
                <w:rFonts w:eastAsiaTheme="minorEastAsia" w:cs="Arial" w:hint="eastAsia"/>
                <w:sz w:val="20"/>
                <w:szCs w:val="20"/>
                <w:lang w:val="en-GB"/>
              </w:rPr>
            </w:pPr>
            <w:r>
              <w:rPr>
                <w:rFonts w:eastAsiaTheme="minorEastAsia" w:cs="Arial"/>
                <w:sz w:val="20"/>
                <w:szCs w:val="20"/>
                <w:lang w:val="en-GB"/>
              </w:rPr>
              <w:t>This issue can be discussed under MR-DC UE feature.</w:t>
            </w:r>
          </w:p>
        </w:tc>
      </w:tr>
    </w:tbl>
    <w:p w14:paraId="6B867021" w14:textId="77777777" w:rsidR="009C3237" w:rsidRDefault="009C3237" w:rsidP="0038295D"/>
    <w:p w14:paraId="3A609EA3" w14:textId="77777777" w:rsidR="0038295D" w:rsidRPr="00590F3F" w:rsidRDefault="0038295D" w:rsidP="0038295D">
      <w:pPr>
        <w:pStyle w:val="Heading1"/>
        <w:rPr>
          <w:rStyle w:val="Heading1Char"/>
        </w:rPr>
      </w:pPr>
      <w:r>
        <w:rPr>
          <w:rStyle w:val="Heading1Char"/>
        </w:rPr>
        <w:lastRenderedPageBreak/>
        <w:t>4</w:t>
      </w:r>
      <w:r>
        <w:rPr>
          <w:rStyle w:val="Heading1Char"/>
        </w:rPr>
        <w:tab/>
        <w:t>Conclusion on the scope of the RAN1#101</w:t>
      </w:r>
    </w:p>
    <w:p w14:paraId="27B2B573" w14:textId="77777777" w:rsidR="0038295D" w:rsidRDefault="0038295D" w:rsidP="0038295D">
      <w:r w:rsidRPr="003068AB">
        <w:rPr>
          <w:highlight w:val="yellow"/>
        </w:rPr>
        <w:t>To be completed</w:t>
      </w:r>
    </w:p>
    <w:p w14:paraId="0DE7B547" w14:textId="77777777" w:rsidR="0038295D" w:rsidRPr="00590F3F" w:rsidRDefault="0038295D" w:rsidP="0038295D">
      <w:pPr>
        <w:pStyle w:val="Heading1"/>
        <w:rPr>
          <w:rStyle w:val="Heading1Char"/>
        </w:rPr>
      </w:pPr>
      <w:r w:rsidRPr="00590F3F">
        <w:rPr>
          <w:rStyle w:val="Heading1Char"/>
        </w:rPr>
        <w:t>References</w:t>
      </w:r>
    </w:p>
    <w:p w14:paraId="48738CA8" w14:textId="45BF99CD" w:rsidR="00461CBB" w:rsidRPr="00461CBB" w:rsidRDefault="00461CBB" w:rsidP="00461CBB">
      <w:pPr>
        <w:pStyle w:val="ListParagraph"/>
        <w:numPr>
          <w:ilvl w:val="0"/>
          <w:numId w:val="36"/>
        </w:numPr>
        <w:rPr>
          <w:rFonts w:ascii="Arial" w:hAnsi="Arial" w:cs="Arial"/>
          <w:sz w:val="20"/>
          <w:szCs w:val="20"/>
        </w:rPr>
      </w:pPr>
      <w:bookmarkStart w:id="3"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Huawei, HiSilicon</w:t>
      </w:r>
    </w:p>
    <w:p w14:paraId="331ED59F" w14:textId="5BBA768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ListParagraph"/>
        <w:numPr>
          <w:ilvl w:val="0"/>
          <w:numId w:val="36"/>
        </w:numPr>
        <w:rPr>
          <w:rFonts w:ascii="Arial" w:hAnsi="Arial" w:cs="Arial"/>
        </w:rPr>
      </w:pPr>
      <w:r w:rsidRPr="00590F3F">
        <w:rPr>
          <w:rFonts w:ascii="Arial" w:hAnsi="Arial" w:cs="Arial"/>
        </w:rPr>
        <w:br w:type="page"/>
      </w:r>
    </w:p>
    <w:bookmarkEnd w:id="3"/>
    <w:p w14:paraId="2F3C43CA" w14:textId="47006D03" w:rsidR="0038295D" w:rsidRDefault="0038295D" w:rsidP="0038295D">
      <w:pPr>
        <w:pStyle w:val="Heading1"/>
        <w:rPr>
          <w:rStyle w:val="Heading1Char"/>
        </w:rPr>
      </w:pPr>
      <w:r w:rsidRPr="00590F3F">
        <w:rPr>
          <w:rStyle w:val="Heading1Char"/>
        </w:rPr>
        <w:lastRenderedPageBreak/>
        <w:t>Annex – Proposals of the submitted Tdocs</w:t>
      </w:r>
    </w:p>
    <w:p w14:paraId="24A36ED9" w14:textId="184F9B4C" w:rsidR="00412057" w:rsidRPr="00412057" w:rsidRDefault="00412057" w:rsidP="00412057">
      <w:pPr>
        <w:rPr>
          <w:b/>
          <w:bCs/>
        </w:rPr>
      </w:pPr>
      <w:bookmarkStart w:id="4"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The “HARQ codebook blocking” issue of UE supporting only one unicast PDSCH slot can be handled by gNB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R1-2003508, Remaing issues on cross-carrier scheduling with different numerology, Huawei, HiSilicon</w:t>
      </w:r>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If a UE doesn’t support more than one PDSCH receptions within a slot, the UE behavior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Proposal: DAI counting rule needs to be defined for the multiple DCIs scheduling a same serving cell transmitted within a same MO, to avoid potential misalignment on the ordering of HARQ-ACK bits in the HARQ-ACK payload for dynamic codebook between UE and gNB.</w:t>
      </w:r>
    </w:p>
    <w:p w14:paraId="2E74EE6C" w14:textId="77777777"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87C9E" w14:textId="77777777" w:rsidR="009755E4" w:rsidRDefault="009755E4">
      <w:r>
        <w:separator/>
      </w:r>
    </w:p>
  </w:endnote>
  <w:endnote w:type="continuationSeparator" w:id="0">
    <w:p w14:paraId="0F78C071" w14:textId="77777777" w:rsidR="009755E4" w:rsidRDefault="0097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547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547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31C9A" w14:textId="77777777" w:rsidR="009755E4" w:rsidRDefault="009755E4">
      <w:r>
        <w:separator/>
      </w:r>
    </w:p>
  </w:footnote>
  <w:footnote w:type="continuationSeparator" w:id="0">
    <w:p w14:paraId="71094C36" w14:textId="77777777" w:rsidR="009755E4" w:rsidRDefault="00975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501F"/>
    <w:rsid w:val="00305FE5"/>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55E4"/>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C20DA7-F7C5-479B-AD06-6BE8FAF28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489</TotalTime>
  <Pages>5</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ZTE</cp:lastModifiedBy>
  <cp:revision>13</cp:revision>
  <cp:lastPrinted>2008-01-31T07:09:00Z</cp:lastPrinted>
  <dcterms:created xsi:type="dcterms:W3CDTF">2020-04-14T09:31:00Z</dcterms:created>
  <dcterms:modified xsi:type="dcterms:W3CDTF">2020-05-19T01:54:00Z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